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28"/>
        <w:gridCol w:w="881"/>
        <w:gridCol w:w="1075"/>
        <w:gridCol w:w="2125"/>
        <w:gridCol w:w="2125"/>
        <w:gridCol w:w="1523"/>
        <w:gridCol w:w="959"/>
        <w:gridCol w:w="1523"/>
        <w:gridCol w:w="959"/>
        <w:gridCol w:w="503"/>
        <w:gridCol w:w="1195"/>
        <w:gridCol w:w="1584"/>
      </w:tblGrid>
      <w:tr w:rsidR="00C96B7E" w:rsidRPr="00C96B7E" w14:paraId="474B0403" w14:textId="77777777" w:rsidTr="00103725">
        <w:trPr>
          <w:trHeight w:val="765"/>
        </w:trPr>
        <w:tc>
          <w:tcPr>
            <w:tcW w:w="2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2EDB" w14:textId="0A0217DA" w:rsidR="00C96B7E" w:rsidRPr="00C96B7E" w:rsidRDefault="00C96B7E" w:rsidP="00C96B7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COMMUNICATIONS PLAN</w:t>
            </w:r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SCCo</w:t>
            </w:r>
            <w:proofErr w:type="spellEnd"/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ARES/RACES</w:t>
            </w:r>
            <w:r w:rsidR="00A528C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/ACS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C256" w14:textId="324B28A3" w:rsidR="00C96B7E" w:rsidRDefault="00C96B7E" w:rsidP="00C96B7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C96B7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1. Incident Name</w:t>
            </w:r>
            <w:r w:rsidR="00103725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/Location</w:t>
            </w:r>
          </w:p>
          <w:p w14:paraId="062C61ED" w14:textId="31CEA49D" w:rsidR="00871A8F" w:rsidRPr="00C96B7E" w:rsidRDefault="005E6A8E" w:rsidP="005E6A8E">
            <w:pPr>
              <w:spacing w:before="120" w:line="240" w:lineRule="auto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7F8A" w14:textId="77777777" w:rsidR="00C96B7E" w:rsidRDefault="00C96B7E" w:rsidP="00C96B7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C96B7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2. Activation Number</w:t>
            </w:r>
          </w:p>
          <w:p w14:paraId="6FB576D2" w14:textId="52D2A354" w:rsidR="005E6A8E" w:rsidRPr="00C96B7E" w:rsidRDefault="007D1C17" w:rsidP="005E6A8E">
            <w:pPr>
              <w:spacing w:before="120" w:line="240" w:lineRule="auto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CF9B6" w14:textId="77777777" w:rsidR="00C96B7E" w:rsidRDefault="00C96B7E" w:rsidP="00C96B7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C96B7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3. Operational Period Date/Time</w:t>
            </w:r>
          </w:p>
          <w:p w14:paraId="6D3B03CF" w14:textId="3A85865A" w:rsidR="005E6A8E" w:rsidRPr="002657F0" w:rsidRDefault="00943D85" w:rsidP="00D868D5">
            <w:pPr>
              <w:spacing w:before="40" w:line="240" w:lineRule="auto"/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C678AB">
              <w:rPr>
                <w:rFonts w:eastAsia="Times New Roman"/>
                <w:bCs/>
                <w:sz w:val="18"/>
                <w:szCs w:val="18"/>
                <w:lang w:val="en-US"/>
              </w:rPr>
              <w:t xml:space="preserve"> </w:t>
            </w:r>
            <w:r w:rsidR="00103725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From Date: </w:t>
            </w:r>
            <w:r w:rsidR="00E6097A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softHyphen/>
            </w:r>
            <w:r w:rsidR="00700A0C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              </w:t>
            </w:r>
            <w:r w:rsidR="00624455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00A0C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24455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00A0C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624455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00A0C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03725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To Date: </w:t>
            </w:r>
          </w:p>
          <w:p w14:paraId="1F9C3932" w14:textId="513418A2" w:rsidR="00103725" w:rsidRPr="00700A0C" w:rsidRDefault="00103725" w:rsidP="00C678AB">
            <w:pPr>
              <w:spacing w:before="60" w:line="240" w:lineRule="auto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From Time: </w:t>
            </w:r>
            <w:r w:rsidR="00700A0C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       </w:t>
            </w:r>
            <w:r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00A0C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624455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     To</w:t>
            </w:r>
            <w:r w:rsidR="00234840"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657F0">
              <w:rPr>
                <w:rFonts w:eastAsia="Times New Roman"/>
                <w:bCs/>
                <w:color w:val="000000" w:themeColor="text1"/>
                <w:sz w:val="18"/>
                <w:szCs w:val="18"/>
                <w:lang w:val="en-US"/>
              </w:rPr>
              <w:t>Time:</w:t>
            </w:r>
            <w:r w:rsidRPr="002657F0">
              <w:rPr>
                <w:rFonts w:eastAsia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C96B7E" w:rsidRPr="00C96B7E" w14:paraId="4018DCC8" w14:textId="77777777" w:rsidTr="00352E66">
        <w:trPr>
          <w:trHeight w:val="270"/>
        </w:trPr>
        <w:tc>
          <w:tcPr>
            <w:tcW w:w="150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23E5C08E" w14:textId="113F1E49" w:rsidR="00C96B7E" w:rsidRPr="00C96B7E" w:rsidRDefault="00C96B7E" w:rsidP="00352E6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C96B7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4. Communications Resources</w:t>
            </w:r>
          </w:p>
        </w:tc>
      </w:tr>
      <w:tr w:rsidR="00C96B7E" w:rsidRPr="00C96B7E" w14:paraId="3BD87D6F" w14:textId="77777777" w:rsidTr="0057570F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AC4A" w14:textId="77777777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Ch #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5F3D" w14:textId="77777777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Function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1D4D" w14:textId="21C59516" w:rsidR="00AD37C8" w:rsidRPr="00427A9C" w:rsidRDefault="00AD37C8" w:rsidP="00AD37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Call Sign and/or</w:t>
            </w:r>
          </w:p>
          <w:p w14:paraId="23225E29" w14:textId="6E733063" w:rsidR="00C96B7E" w:rsidRPr="00427A9C" w:rsidRDefault="00AD37C8" w:rsidP="00AD37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Sys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Net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Ch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TG Name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0ACE" w14:textId="77777777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Assignment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7EB7" w14:textId="45B303B5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Rx </w:t>
            </w:r>
            <w:proofErr w:type="gramStart"/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Freq  N</w:t>
            </w:r>
            <w:proofErr w:type="gramEnd"/>
            <w:r w:rsidR="00B83695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="00B83695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1250" w14:textId="77777777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Rx Tone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br/>
              <w:t>or NAC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6D1D" w14:textId="04D12683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Tx </w:t>
            </w:r>
            <w:proofErr w:type="gramStart"/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Freq  N</w:t>
            </w:r>
            <w:proofErr w:type="gramEnd"/>
            <w:r w:rsidR="00B83695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="00B83695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W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br/>
              <w:t>or +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="00266C53"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DA82" w14:textId="77777777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Tx Tone</w:t>
            </w: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br/>
              <w:t>or NAC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996D" w14:textId="3CE93A5C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Mode</w:t>
            </w:r>
            <w:r w:rsidR="00F36BF0" w:rsidRPr="00427A9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gramStart"/>
            <w:r w:rsidR="00F36BF0" w:rsidRPr="00427A9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A,D</w:t>
            </w:r>
            <w:proofErr w:type="gramEnd"/>
            <w:r w:rsidR="00F36BF0" w:rsidRPr="00427A9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,M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A92B" w14:textId="77777777" w:rsidR="00C96B7E" w:rsidRPr="00427A9C" w:rsidRDefault="00C96B7E" w:rsidP="00C96B7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427A9C"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  <w:t>Remarks</w:t>
            </w:r>
          </w:p>
        </w:tc>
      </w:tr>
      <w:tr w:rsidR="00C96B7E" w:rsidRPr="00C96B7E" w14:paraId="52ABA5CE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0E89B" w14:textId="5787D56C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F887FA" w14:textId="298157D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583D1" w14:textId="62138D8C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EEEBF" w14:textId="232A27C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9FF1D" w14:textId="2344B0B2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CBA53" w14:textId="1D3B675F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E43B" w14:textId="78403D8F" w:rsidR="00C96B7E" w:rsidRPr="00BF1178" w:rsidRDefault="00266C53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1178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4A2B8" w14:textId="1BB1473F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34D46" w14:textId="7B070B28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86DDF" w14:textId="5844047A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2A780D48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04A69B" w14:textId="0EF51E90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785449" w14:textId="446C9B68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65567" w14:textId="282D48BE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724EF" w14:textId="6C4C6162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0E0D5" w14:textId="4940EDED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E1675" w14:textId="5AF48AB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0607D" w14:textId="727A84B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2A162" w14:textId="61425272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FDC0" w14:textId="4861C3E5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47DB9" w14:textId="6D0814BE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29624D11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A24C5C" w14:textId="69A4F1EB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85105" w14:textId="1592AB84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9005D" w14:textId="29B81EAA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FB791" w14:textId="177D2A50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0FF7" w14:textId="37CD0EA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4BDA" w14:textId="50B7594F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AADC" w14:textId="24E9FA3A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C8A66" w14:textId="3F314455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621AE" w14:textId="601752BC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6D3A6" w14:textId="6A10AA91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70736F9D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3353C7" w14:textId="79CDD8AD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1C186" w14:textId="68FE51A4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A0F6B" w14:textId="7F8EF6E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3844" w14:textId="2AA25B6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14B9E" w14:textId="3199387D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EA7BF" w14:textId="5E18E47B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F879" w14:textId="7C02310D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9EDC5" w14:textId="7B20AEEA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37C6A" w14:textId="2FE33621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8C892" w14:textId="7689DFB3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76F46649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8DCD81" w14:textId="3AA051DA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17DE5" w14:textId="3370E51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7E3A" w14:textId="0D10CB51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24E37" w14:textId="5854ABDB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F50F9" w14:textId="4351CAB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234C1" w14:textId="33D9FC36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E90DA" w14:textId="4CAD6C86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D2A4" w14:textId="34292068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89014" w14:textId="28CCF37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3970" w14:textId="2257C5E6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6D2C1FF5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4EE3E" w14:textId="59A4490F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46D67" w14:textId="0E93ACD4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6010E" w14:textId="5259F57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33AA5" w14:textId="602AB5C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DAD7F" w14:textId="618BEA61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5CE27" w14:textId="4FAB84B2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B975" w14:textId="020E8B5E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1B11E" w14:textId="03053B71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4B03A" w14:textId="7AC60A8F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9833A" w14:textId="1C4FC360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46DB8F59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2FCAE" w14:textId="1A8FFCBE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3470A8" w14:textId="20DFCD7B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2C7E0" w14:textId="44DAB3F6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ADD53" w14:textId="1536BAC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AA38" w14:textId="6FA78EDF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403DA" w14:textId="0A20FE85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4B66A" w14:textId="2ED0F162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A97E" w14:textId="20C917DE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2E53" w14:textId="5DA55C44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B0C80" w14:textId="3B0703E8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6640C906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7251E" w14:textId="2BD17485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F7DD4B" w14:textId="1D6FE7AA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16794" w14:textId="691713F6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F70BA" w14:textId="3565AED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49937" w14:textId="18F14C38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6A062" w14:textId="7C05B936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39B6E" w14:textId="029F47A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E9DE8" w14:textId="338C8F09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CAA0A" w14:textId="32581D0C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43CE5" w14:textId="172DA071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30464B71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6CCEFC" w14:textId="795F187E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4D7CC1" w14:textId="503B9062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7BE79" w14:textId="181EEE20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2F0EF" w14:textId="75A1F20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1FDE0" w14:textId="60CEDD6B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580A5" w14:textId="7B113AD8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26F6" w14:textId="5F0B5CAA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49039" w14:textId="51EECAAF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DA0EA" w14:textId="50E28F1D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3126A" w14:textId="4C70DBA1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96B7E" w:rsidRPr="00C96B7E" w14:paraId="5732A2CA" w14:textId="77777777" w:rsidTr="0057570F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90D36" w14:textId="1E9928D3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C9E52" w14:textId="74BFDF98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7121" w14:textId="7FF1CC37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AC173" w14:textId="7A345FE0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C3709" w14:textId="464F04FE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84171" w14:textId="607F5E69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3587A" w14:textId="1155CFB1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624A6" w14:textId="240D8235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8D677" w14:textId="3548FAFB" w:rsidR="00C96B7E" w:rsidRPr="00BF1178" w:rsidRDefault="00C96B7E" w:rsidP="0098282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844C2" w14:textId="20A67B65" w:rsidR="00C96B7E" w:rsidRPr="00C96B7E" w:rsidRDefault="00C96B7E" w:rsidP="00982827">
            <w:pPr>
              <w:spacing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E21CAC" w:rsidRPr="00C96B7E" w14:paraId="688EAD87" w14:textId="77777777" w:rsidTr="00E21CAC">
        <w:trPr>
          <w:trHeight w:val="750"/>
        </w:trPr>
        <w:tc>
          <w:tcPr>
            <w:tcW w:w="1507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BEA70" w14:textId="77777777" w:rsidR="00E21CAC" w:rsidRDefault="00E21CAC" w:rsidP="00982827">
            <w:pPr>
              <w:spacing w:line="240" w:lineRule="auto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5. Special Instructions</w:t>
            </w:r>
          </w:p>
          <w:p w14:paraId="534A6843" w14:textId="0164168F" w:rsidR="00BF1178" w:rsidRPr="00BF1178" w:rsidRDefault="00BF1178" w:rsidP="00BF1178">
            <w:pPr>
              <w:spacing w:before="40" w:line="240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A77813" w:rsidRPr="00C96B7E" w14:paraId="3C57D7E8" w14:textId="77777777" w:rsidTr="00871A8F">
        <w:trPr>
          <w:trHeight w:val="670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F00E" w14:textId="2A4B3974" w:rsidR="00A77813" w:rsidRPr="00C96B7E" w:rsidRDefault="00A77813" w:rsidP="00C96B7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ICS 205</w:t>
            </w:r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SCCo</w:t>
            </w:r>
            <w:proofErr w:type="spellEnd"/>
            <w:r w:rsidRPr="00C96B7E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RACES</w:t>
            </w:r>
          </w:p>
        </w:tc>
        <w:tc>
          <w:tcPr>
            <w:tcW w:w="7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D84D2" w14:textId="5F364024" w:rsidR="00A77813" w:rsidRDefault="00E21CAC" w:rsidP="00C96B7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  <w:r w:rsidR="00A77813" w:rsidRPr="00C96B7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.Prepared by (Communications Unit Leader)</w:t>
            </w:r>
          </w:p>
          <w:p w14:paraId="603D2505" w14:textId="47082C2A" w:rsidR="005E6A8E" w:rsidRPr="00C96B7E" w:rsidRDefault="00943D85" w:rsidP="005E6A8E">
            <w:pPr>
              <w:spacing w:before="120" w:line="240" w:lineRule="auto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D3177B" w14:textId="345E54BC" w:rsidR="00A77813" w:rsidRDefault="00E21CAC" w:rsidP="00C96B7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7</w:t>
            </w:r>
            <w:r w:rsidR="00A77813" w:rsidRPr="00C96B7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.Prepared Date/Time</w:t>
            </w:r>
          </w:p>
          <w:p w14:paraId="40658F4F" w14:textId="1F933135" w:rsidR="00943D85" w:rsidRPr="00943D85" w:rsidRDefault="00943D85" w:rsidP="00943D85">
            <w:pPr>
              <w:spacing w:before="120" w:line="240" w:lineRule="auto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B032" w14:textId="7C4D8544" w:rsidR="00A77813" w:rsidRDefault="00E21CAC" w:rsidP="00C96B7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8</w:t>
            </w:r>
            <w:r w:rsidR="00A77813" w:rsidRPr="00C96B7E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 Page</w:t>
            </w:r>
          </w:p>
          <w:p w14:paraId="482486E5" w14:textId="148FF2CD" w:rsidR="00943D85" w:rsidRPr="00C96B7E" w:rsidRDefault="00943D85" w:rsidP="00943D85">
            <w:pPr>
              <w:spacing w:before="120" w:line="240" w:lineRule="auto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        </w:t>
            </w:r>
            <w:r w:rsidR="00E452D2">
              <w:rPr>
                <w:rFonts w:eastAsia="Times New Roman"/>
                <w:bCs/>
                <w:sz w:val="24"/>
                <w:szCs w:val="24"/>
                <w:lang w:val="en-US"/>
              </w:rPr>
              <w:t>o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f</w:t>
            </w:r>
            <w:r w:rsidR="00E452D2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</w:tr>
    </w:tbl>
    <w:p w14:paraId="47FFFB9D" w14:textId="437D96E9" w:rsidR="00316D8E" w:rsidRPr="00316D8E" w:rsidRDefault="00316D8E" w:rsidP="00316D8E">
      <w:pPr>
        <w:spacing w:before="120"/>
        <w:jc w:val="center"/>
        <w:rPr>
          <w:rFonts w:eastAsia="Times New Roman"/>
          <w:b/>
          <w:bCs/>
          <w:sz w:val="16"/>
          <w:szCs w:val="16"/>
          <w:lang w:val="en-US"/>
        </w:rPr>
      </w:pPr>
      <w:r w:rsidRPr="00316D8E">
        <w:rPr>
          <w:rFonts w:eastAsia="Times New Roman"/>
          <w:b/>
          <w:bCs/>
          <w:sz w:val="16"/>
          <w:szCs w:val="16"/>
          <w:lang w:val="en-US"/>
        </w:rPr>
        <w:t>See reverse for instructions. All channels are shown as if programmed in a base station, mobile or portable radio.   Repeater stations must be programmed with the Rx and Tx reversed.</w:t>
      </w:r>
    </w:p>
    <w:p w14:paraId="44957396" w14:textId="33E9F71E" w:rsidR="00AB1B9B" w:rsidRDefault="00AB1B9B">
      <w:pPr>
        <w:rPr>
          <w:b/>
          <w:sz w:val="24"/>
          <w:szCs w:val="24"/>
        </w:rPr>
        <w:sectPr w:rsidR="00AB1B9B" w:rsidSect="00316D8E">
          <w:footerReference w:type="default" r:id="rId8"/>
          <w:pgSz w:w="15840" w:h="12240" w:orient="landscape"/>
          <w:pgMar w:top="576" w:right="360" w:bottom="720" w:left="360" w:header="0" w:footer="360" w:gutter="0"/>
          <w:pgNumType w:start="1"/>
          <w:cols w:space="720"/>
          <w:docGrid w:linePitch="299"/>
        </w:sectPr>
      </w:pPr>
      <w:bookmarkStart w:id="0" w:name="_GoBack"/>
      <w:bookmarkEnd w:id="0"/>
    </w:p>
    <w:p w14:paraId="5BD8C862" w14:textId="0DDE756B" w:rsidR="00191673" w:rsidRDefault="00D0112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ICS 205</w:t>
      </w:r>
    </w:p>
    <w:p w14:paraId="268C4154" w14:textId="088D6A9E" w:rsidR="00191673" w:rsidRDefault="00D011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Communications Plan, </w:t>
      </w:r>
      <w:r w:rsidR="00AF6990">
        <w:rPr>
          <w:b/>
          <w:sz w:val="24"/>
          <w:szCs w:val="24"/>
        </w:rPr>
        <w:t xml:space="preserve">Adapted for </w:t>
      </w:r>
      <w:r>
        <w:rPr>
          <w:b/>
          <w:sz w:val="24"/>
          <w:szCs w:val="24"/>
        </w:rPr>
        <w:t>Santa Clara County ARES/RACES</w:t>
      </w:r>
      <w:r w:rsidR="004C656A">
        <w:rPr>
          <w:b/>
          <w:sz w:val="24"/>
          <w:szCs w:val="24"/>
        </w:rPr>
        <w:t>/ACS</w:t>
      </w:r>
    </w:p>
    <w:p w14:paraId="6DB2F24E" w14:textId="77777777" w:rsidR="00191673" w:rsidRDefault="00191673">
      <w:pPr>
        <w:rPr>
          <w:b/>
          <w:sz w:val="24"/>
          <w:szCs w:val="24"/>
        </w:rPr>
      </w:pPr>
    </w:p>
    <w:p w14:paraId="05067C6C" w14:textId="6B7467C7" w:rsidR="00191673" w:rsidRDefault="00D0112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Purpose: </w:t>
      </w:r>
      <w:r>
        <w:rPr>
          <w:sz w:val="18"/>
          <w:szCs w:val="18"/>
        </w:rPr>
        <w:t xml:space="preserve">The Communications Plan (ICS 205) provides information on all radio frequency or trunked radio system </w:t>
      </w:r>
      <w:proofErr w:type="spellStart"/>
      <w:r>
        <w:rPr>
          <w:sz w:val="18"/>
          <w:szCs w:val="18"/>
        </w:rPr>
        <w:t>talkgroup</w:t>
      </w:r>
      <w:proofErr w:type="spellEnd"/>
      <w:r>
        <w:rPr>
          <w:sz w:val="18"/>
          <w:szCs w:val="18"/>
        </w:rPr>
        <w:t xml:space="preserve"> assignments for each operational period. The plan is a summary of information obtained about available radio frequencies or </w:t>
      </w:r>
      <w:proofErr w:type="spellStart"/>
      <w:r>
        <w:rPr>
          <w:sz w:val="18"/>
          <w:szCs w:val="18"/>
        </w:rPr>
        <w:t>talkgroups</w:t>
      </w:r>
      <w:proofErr w:type="spellEnd"/>
      <w:r>
        <w:rPr>
          <w:sz w:val="18"/>
          <w:szCs w:val="18"/>
        </w:rPr>
        <w:t xml:space="preserve"> and the assignments of those resources by the Communications Unit Leader or Incident Commander for use by incident responders.</w:t>
      </w:r>
    </w:p>
    <w:p w14:paraId="64DFE5DE" w14:textId="6BBE267D" w:rsidR="00191673" w:rsidRDefault="00D01129">
      <w:pPr>
        <w:spacing w:before="160" w:line="240" w:lineRule="auto"/>
        <w:rPr>
          <w:sz w:val="18"/>
          <w:szCs w:val="18"/>
        </w:rPr>
      </w:pPr>
      <w:r>
        <w:rPr>
          <w:b/>
          <w:sz w:val="18"/>
          <w:szCs w:val="18"/>
        </w:rPr>
        <w:t>Preparation:</w:t>
      </w:r>
      <w:r>
        <w:rPr>
          <w:sz w:val="18"/>
          <w:szCs w:val="18"/>
        </w:rPr>
        <w:t xml:space="preserve"> The ICS 205 is prepared by the Communications Unit Leader or other individual designated by the Incident Commander.</w:t>
      </w:r>
    </w:p>
    <w:p w14:paraId="7C825D0C" w14:textId="78D78A82" w:rsidR="00191673" w:rsidRDefault="00D01129">
      <w:pPr>
        <w:spacing w:before="160" w:line="273" w:lineRule="auto"/>
        <w:rPr>
          <w:sz w:val="18"/>
          <w:szCs w:val="18"/>
        </w:rPr>
      </w:pPr>
      <w:r>
        <w:rPr>
          <w:b/>
          <w:sz w:val="18"/>
          <w:szCs w:val="18"/>
        </w:rPr>
        <w:t>Distribution:</w:t>
      </w:r>
      <w:r>
        <w:rPr>
          <w:sz w:val="18"/>
          <w:szCs w:val="18"/>
        </w:rPr>
        <w:t xml:space="preserve"> The ICS 205 is provided to all incident responders.</w:t>
      </w:r>
    </w:p>
    <w:p w14:paraId="47D1059D" w14:textId="77777777" w:rsidR="00191673" w:rsidRDefault="00191673"/>
    <w:tbl>
      <w:tblPr>
        <w:tblStyle w:val="1"/>
        <w:tblW w:w="110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2775"/>
        <w:gridCol w:w="7905"/>
      </w:tblGrid>
      <w:tr w:rsidR="00191673" w14:paraId="6523CBA5" w14:textId="77777777">
        <w:tc>
          <w:tcPr>
            <w:tcW w:w="39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2E6E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#</w:t>
            </w:r>
          </w:p>
        </w:tc>
        <w:tc>
          <w:tcPr>
            <w:tcW w:w="277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EF5FF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Block Title</w:t>
            </w:r>
          </w:p>
        </w:tc>
        <w:tc>
          <w:tcPr>
            <w:tcW w:w="79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00EC8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Instructions</w:t>
            </w:r>
          </w:p>
        </w:tc>
      </w:tr>
      <w:tr w:rsidR="00191673" w14:paraId="64AC5251" w14:textId="7777777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739A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AF" w14:textId="731B75E2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Incident Name</w:t>
            </w:r>
            <w:r w:rsidR="00103725">
              <w:rPr>
                <w:b/>
                <w:sz w:val="18"/>
                <w:szCs w:val="18"/>
              </w:rPr>
              <w:t>/Location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6003" w14:textId="2BEF9D6A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the name assigned to the incident</w:t>
            </w:r>
            <w:r w:rsidR="00103725">
              <w:rPr>
                <w:sz w:val="18"/>
                <w:szCs w:val="18"/>
              </w:rPr>
              <w:t xml:space="preserve"> and</w:t>
            </w:r>
            <w:r w:rsidR="00266C53">
              <w:rPr>
                <w:sz w:val="18"/>
                <w:szCs w:val="18"/>
              </w:rPr>
              <w:t>, optionally,</w:t>
            </w:r>
            <w:r w:rsidR="00103725">
              <w:rPr>
                <w:sz w:val="18"/>
                <w:szCs w:val="18"/>
              </w:rPr>
              <w:t xml:space="preserve"> the location of the incident.</w:t>
            </w:r>
          </w:p>
        </w:tc>
      </w:tr>
      <w:tr w:rsidR="00191673" w14:paraId="6DD52C89" w14:textId="7777777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D7C0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B0ED" w14:textId="77777777" w:rsidR="00191673" w:rsidRDefault="00D0112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Activation Number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3536" w14:textId="77777777" w:rsidR="00191673" w:rsidRDefault="00D0112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the activation number assigned to the incident, otherwise leave blank if none.</w:t>
            </w:r>
          </w:p>
        </w:tc>
      </w:tr>
      <w:tr w:rsidR="00191673" w14:paraId="767386F4" w14:textId="7777777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6E65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DE73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Operational Period Date/Time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BFBD" w14:textId="34A3132D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the start date (mm/dd/year) and time (24-hr clock) and the end date and time for the operational period to which the form applies.</w:t>
            </w:r>
          </w:p>
        </w:tc>
      </w:tr>
      <w:tr w:rsidR="00191673" w14:paraId="0FC90E23" w14:textId="77777777" w:rsidTr="00AB1B9B">
        <w:trPr>
          <w:trHeight w:val="105"/>
        </w:trPr>
        <w:tc>
          <w:tcPr>
            <w:tcW w:w="3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41EA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90D7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Communications Resources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51FC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the following information about radio channel use:</w:t>
            </w:r>
          </w:p>
        </w:tc>
      </w:tr>
      <w:tr w:rsidR="00191673" w14:paraId="77EDAEF8" w14:textId="77777777">
        <w:trPr>
          <w:trHeight w:val="420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032C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67A23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#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71AD" w14:textId="23B3F518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at your discretion. Channel number (Ch #) may equate to channel numbers in pre-programmed incident radios, used as reference numbers on the ICS 205 document, or left blank for recipient use.</w:t>
            </w:r>
          </w:p>
        </w:tc>
      </w:tr>
      <w:tr w:rsidR="00191673" w14:paraId="57D09672" w14:textId="77777777">
        <w:trPr>
          <w:trHeight w:val="420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57FA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03A2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5AC1" w14:textId="629D8552" w:rsidR="00191673" w:rsidRDefault="00266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266C53">
              <w:rPr>
                <w:sz w:val="18"/>
                <w:szCs w:val="18"/>
              </w:rPr>
              <w:t>Enter the ICS or local function for which this channel will be used</w:t>
            </w:r>
            <w:r>
              <w:rPr>
                <w:sz w:val="18"/>
                <w:szCs w:val="18"/>
              </w:rPr>
              <w:t xml:space="preserve"> (</w:t>
            </w:r>
            <w:r w:rsidRPr="00266C53">
              <w:rPr>
                <w:sz w:val="18"/>
                <w:szCs w:val="18"/>
              </w:rPr>
              <w:t xml:space="preserve">Operations, Command, Logistics, Resource, Tactical, </w:t>
            </w:r>
            <w:r>
              <w:rPr>
                <w:sz w:val="18"/>
                <w:szCs w:val="18"/>
              </w:rPr>
              <w:t xml:space="preserve">Emergency, </w:t>
            </w:r>
            <w:r w:rsidRPr="00266C53">
              <w:rPr>
                <w:sz w:val="18"/>
                <w:szCs w:val="18"/>
              </w:rPr>
              <w:t>etc.</w:t>
            </w:r>
            <w:r>
              <w:rPr>
                <w:sz w:val="18"/>
                <w:szCs w:val="18"/>
              </w:rPr>
              <w:t>)</w:t>
            </w:r>
          </w:p>
        </w:tc>
      </w:tr>
      <w:tr w:rsidR="00191673" w14:paraId="13FFD016" w14:textId="77777777" w:rsidTr="00982827">
        <w:trPr>
          <w:trHeight w:val="177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88AC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46A2" w14:textId="77777777" w:rsidR="00266C53" w:rsidRDefault="00AD37C8" w:rsidP="00AD3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D37C8">
              <w:rPr>
                <w:sz w:val="18"/>
                <w:szCs w:val="18"/>
              </w:rPr>
              <w:t>Call Sign and/or</w:t>
            </w:r>
          </w:p>
          <w:p w14:paraId="461038F4" w14:textId="560BB667" w:rsidR="00191673" w:rsidRDefault="00AD37C8" w:rsidP="00AD3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D37C8">
              <w:rPr>
                <w:sz w:val="18"/>
                <w:szCs w:val="18"/>
              </w:rPr>
              <w:t>Sys</w:t>
            </w:r>
            <w:r w:rsidR="00266C53">
              <w:rPr>
                <w:sz w:val="18"/>
                <w:szCs w:val="18"/>
              </w:rPr>
              <w:t xml:space="preserve"> </w:t>
            </w:r>
            <w:r w:rsidRPr="00AD37C8">
              <w:rPr>
                <w:sz w:val="18"/>
                <w:szCs w:val="18"/>
              </w:rPr>
              <w:t>/</w:t>
            </w:r>
            <w:r w:rsidR="00266C53">
              <w:rPr>
                <w:sz w:val="18"/>
                <w:szCs w:val="18"/>
              </w:rPr>
              <w:t xml:space="preserve"> </w:t>
            </w:r>
            <w:r w:rsidRPr="00AD37C8">
              <w:rPr>
                <w:sz w:val="18"/>
                <w:szCs w:val="18"/>
              </w:rPr>
              <w:t>Net</w:t>
            </w:r>
            <w:r w:rsidR="00266C53">
              <w:rPr>
                <w:sz w:val="18"/>
                <w:szCs w:val="18"/>
              </w:rPr>
              <w:t xml:space="preserve"> </w:t>
            </w:r>
            <w:r w:rsidRPr="00AD37C8">
              <w:rPr>
                <w:sz w:val="18"/>
                <w:szCs w:val="18"/>
              </w:rPr>
              <w:t>/</w:t>
            </w:r>
            <w:r w:rsidR="00266C53">
              <w:rPr>
                <w:sz w:val="18"/>
                <w:szCs w:val="18"/>
              </w:rPr>
              <w:t xml:space="preserve"> </w:t>
            </w:r>
            <w:r w:rsidRPr="00AD37C8">
              <w:rPr>
                <w:sz w:val="18"/>
                <w:szCs w:val="18"/>
              </w:rPr>
              <w:t>Ch</w:t>
            </w:r>
            <w:r w:rsidR="00266C53">
              <w:rPr>
                <w:sz w:val="18"/>
                <w:szCs w:val="18"/>
              </w:rPr>
              <w:t xml:space="preserve"> </w:t>
            </w:r>
            <w:r w:rsidRPr="00AD37C8">
              <w:rPr>
                <w:sz w:val="18"/>
                <w:szCs w:val="18"/>
              </w:rPr>
              <w:t>/</w:t>
            </w:r>
            <w:r w:rsidR="00266C53">
              <w:rPr>
                <w:sz w:val="18"/>
                <w:szCs w:val="18"/>
              </w:rPr>
              <w:t xml:space="preserve"> </w:t>
            </w:r>
            <w:r w:rsidRPr="00AD37C8">
              <w:rPr>
                <w:sz w:val="18"/>
                <w:szCs w:val="18"/>
              </w:rPr>
              <w:t>TG Name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B5E3" w14:textId="71ACF078" w:rsidR="00191673" w:rsidRDefault="00AD3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D37C8">
              <w:rPr>
                <w:sz w:val="18"/>
                <w:szCs w:val="18"/>
              </w:rPr>
              <w:t xml:space="preserve">Enter the call sign of the repeater or station (if appropriate) and the system, net, channel or </w:t>
            </w:r>
            <w:proofErr w:type="spellStart"/>
            <w:r w:rsidRPr="00AD37C8">
              <w:rPr>
                <w:sz w:val="18"/>
                <w:szCs w:val="18"/>
              </w:rPr>
              <w:t>talkgroup</w:t>
            </w:r>
            <w:proofErr w:type="spellEnd"/>
            <w:r w:rsidRPr="00AD37C8">
              <w:rPr>
                <w:sz w:val="18"/>
                <w:szCs w:val="18"/>
              </w:rPr>
              <w:t xml:space="preserve"> name by which this channel is commonly known.</w:t>
            </w:r>
          </w:p>
        </w:tc>
      </w:tr>
      <w:tr w:rsidR="00191673" w14:paraId="0F7A0D01" w14:textId="77777777" w:rsidTr="00AD37C8">
        <w:trPr>
          <w:trHeight w:val="267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90F7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3DAF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Assignment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0FE8" w14:textId="2C14E62B" w:rsidR="00191673" w:rsidRDefault="00AD3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D37C8">
              <w:rPr>
                <w:sz w:val="18"/>
                <w:szCs w:val="18"/>
              </w:rPr>
              <w:t>Enter the individual(s), group(s)</w:t>
            </w:r>
            <w:r w:rsidR="00266C53">
              <w:rPr>
                <w:sz w:val="18"/>
                <w:szCs w:val="18"/>
              </w:rPr>
              <w:t>,</w:t>
            </w:r>
            <w:r w:rsidRPr="00AD37C8">
              <w:rPr>
                <w:sz w:val="18"/>
                <w:szCs w:val="18"/>
              </w:rPr>
              <w:t xml:space="preserve"> or function(s) that will be the primary users of this channel.</w:t>
            </w:r>
          </w:p>
        </w:tc>
      </w:tr>
      <w:tr w:rsidR="00191673" w14:paraId="0EB17CB7" w14:textId="77777777">
        <w:trPr>
          <w:trHeight w:val="420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8B0C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213A" w14:textId="1955FE68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Rx Freq N</w:t>
            </w:r>
            <w:r w:rsidR="00B836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B836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8E0D" w14:textId="1D8003D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 the Receive Frequency (Rx Freq) as the mobile or portable subscriber would be programmed, followed by “N” for </w:t>
            </w:r>
            <w:proofErr w:type="spellStart"/>
            <w:r>
              <w:rPr>
                <w:sz w:val="18"/>
                <w:szCs w:val="18"/>
              </w:rPr>
              <w:t>narrrowband</w:t>
            </w:r>
            <w:proofErr w:type="spellEnd"/>
            <w:r>
              <w:rPr>
                <w:sz w:val="18"/>
                <w:szCs w:val="18"/>
              </w:rPr>
              <w:t xml:space="preserve"> or a “W” for wideband emissions</w:t>
            </w:r>
            <w:r w:rsidR="00BF1577">
              <w:rPr>
                <w:sz w:val="18"/>
                <w:szCs w:val="18"/>
              </w:rPr>
              <w:t>. For HF, include USB or LSB, as appropriate.</w:t>
            </w:r>
          </w:p>
        </w:tc>
      </w:tr>
      <w:tr w:rsidR="00191673" w14:paraId="2113520B" w14:textId="77777777">
        <w:trPr>
          <w:trHeight w:val="420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32D9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9BC8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Rx Tone or NAC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FF2E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 the Receive Continuous Tone Coded Squelch System (CTCSS) </w:t>
            </w:r>
            <w:proofErr w:type="spellStart"/>
            <w:r>
              <w:rPr>
                <w:sz w:val="18"/>
                <w:szCs w:val="18"/>
              </w:rPr>
              <w:t>subaudible</w:t>
            </w:r>
            <w:proofErr w:type="spellEnd"/>
            <w:r>
              <w:rPr>
                <w:sz w:val="18"/>
                <w:szCs w:val="18"/>
              </w:rPr>
              <w:t xml:space="preserve"> tone (Rx Tone) or Network Access Code (Rx NAC) for the receive frequency as the mobile or portable subscriber would be programmed.</w:t>
            </w:r>
          </w:p>
        </w:tc>
      </w:tr>
      <w:tr w:rsidR="00191673" w14:paraId="24A66AA3" w14:textId="77777777">
        <w:trPr>
          <w:trHeight w:val="420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2AA9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9E36" w14:textId="0D8DA280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 Freq N</w:t>
            </w:r>
            <w:r w:rsidR="00B836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B836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or +</w:t>
            </w:r>
            <w:r w:rsidR="00266C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266C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266C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266C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483F" w14:textId="0F716FE6" w:rsidR="00191673" w:rsidRDefault="00D0112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 the Transmit Frequency (Tx Freq) as the mobile or portable subscriber would be programmed, followed by “N” for </w:t>
            </w:r>
            <w:proofErr w:type="spellStart"/>
            <w:r>
              <w:rPr>
                <w:sz w:val="18"/>
                <w:szCs w:val="18"/>
              </w:rPr>
              <w:t>narrrowband</w:t>
            </w:r>
            <w:proofErr w:type="spellEnd"/>
            <w:r>
              <w:rPr>
                <w:sz w:val="18"/>
                <w:szCs w:val="18"/>
              </w:rPr>
              <w:t xml:space="preserve"> or a “W” for wideband emissions.</w:t>
            </w:r>
            <w:r w:rsidR="00BF1577">
              <w:rPr>
                <w:sz w:val="18"/>
                <w:szCs w:val="18"/>
              </w:rPr>
              <w:t xml:space="preserve"> For HF, include USB or LSB, as appropriate. </w:t>
            </w:r>
            <w:r w:rsidR="00AB1B9B">
              <w:rPr>
                <w:sz w:val="18"/>
                <w:szCs w:val="18"/>
              </w:rPr>
              <w:t>Alternatively,</w:t>
            </w:r>
            <w:r>
              <w:rPr>
                <w:sz w:val="18"/>
                <w:szCs w:val="18"/>
              </w:rPr>
              <w:t xml:space="preserve"> for repeaters using standard</w:t>
            </w:r>
            <w:r w:rsidR="00234840">
              <w:rPr>
                <w:sz w:val="18"/>
                <w:szCs w:val="18"/>
              </w:rPr>
              <w:t xml:space="preserve"> amateur</w:t>
            </w:r>
            <w:r>
              <w:rPr>
                <w:sz w:val="18"/>
                <w:szCs w:val="18"/>
              </w:rPr>
              <w:t xml:space="preserve"> frequency offsets (</w:t>
            </w:r>
            <w:r w:rsidR="00B23A3E">
              <w:rPr>
                <w:sz w:val="18"/>
                <w:szCs w:val="18"/>
              </w:rPr>
              <w:t xml:space="preserve">e.g. </w:t>
            </w:r>
            <w:r>
              <w:rPr>
                <w:sz w:val="18"/>
                <w:szCs w:val="18"/>
              </w:rPr>
              <w:t xml:space="preserve">600 Hz for </w:t>
            </w:r>
            <w:r w:rsidR="00B23A3E">
              <w:rPr>
                <w:sz w:val="18"/>
                <w:szCs w:val="18"/>
              </w:rPr>
              <w:t>2m</w:t>
            </w:r>
            <w:r>
              <w:rPr>
                <w:sz w:val="18"/>
                <w:szCs w:val="18"/>
              </w:rPr>
              <w:t xml:space="preserve">, 5 MHz for </w:t>
            </w:r>
            <w:r w:rsidR="00B23A3E">
              <w:rPr>
                <w:sz w:val="18"/>
                <w:szCs w:val="18"/>
              </w:rPr>
              <w:t>70cm</w:t>
            </w:r>
            <w:r>
              <w:rPr>
                <w:sz w:val="18"/>
                <w:szCs w:val="18"/>
              </w:rPr>
              <w:t>), enter “+” or “-” as appropriate. Enter “S” if Rx Freq represents a simplex frequency.</w:t>
            </w:r>
          </w:p>
        </w:tc>
      </w:tr>
      <w:tr w:rsidR="00191673" w14:paraId="5CC5F2B2" w14:textId="77777777">
        <w:trPr>
          <w:trHeight w:val="420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A936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46B9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 Tone or NAC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F355" w14:textId="6C041D01" w:rsidR="00191673" w:rsidRDefault="00D0112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 the Transmit Continuous Tone Coded Squelch System (CTCSS) </w:t>
            </w:r>
            <w:proofErr w:type="spellStart"/>
            <w:r>
              <w:rPr>
                <w:sz w:val="18"/>
                <w:szCs w:val="18"/>
              </w:rPr>
              <w:t>subaudible</w:t>
            </w:r>
            <w:proofErr w:type="spellEnd"/>
            <w:r>
              <w:rPr>
                <w:sz w:val="18"/>
                <w:szCs w:val="18"/>
              </w:rPr>
              <w:t xml:space="preserve"> tone (</w:t>
            </w:r>
            <w:r w:rsidR="005D5E4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x Tone) or Network Access Code (</w:t>
            </w:r>
            <w:r w:rsidR="005D5E4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x NAC) for the transmit frequency as the mobile or portable subscriber would be programmed.</w:t>
            </w:r>
          </w:p>
        </w:tc>
      </w:tr>
      <w:tr w:rsidR="00191673" w14:paraId="104B3971" w14:textId="77777777" w:rsidTr="00F36BF0">
        <w:trPr>
          <w:trHeight w:val="249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8961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2B99" w14:textId="68C13CFF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</w:t>
            </w:r>
            <w:r w:rsidR="00103725">
              <w:rPr>
                <w:sz w:val="18"/>
                <w:szCs w:val="18"/>
              </w:rPr>
              <w:t xml:space="preserve"> </w:t>
            </w:r>
            <w:proofErr w:type="gramStart"/>
            <w:r w:rsidR="00103725">
              <w:rPr>
                <w:sz w:val="18"/>
                <w:szCs w:val="18"/>
              </w:rPr>
              <w:t>A,D</w:t>
            </w:r>
            <w:proofErr w:type="gramEnd"/>
            <w:r w:rsidR="00103725">
              <w:rPr>
                <w:sz w:val="18"/>
                <w:szCs w:val="18"/>
              </w:rPr>
              <w:t>,M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72DC" w14:textId="75D6A046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“A” for analog, “D” for digital,</w:t>
            </w:r>
            <w:r w:rsidR="00F36BF0">
              <w:rPr>
                <w:sz w:val="18"/>
                <w:szCs w:val="18"/>
              </w:rPr>
              <w:t xml:space="preserve"> or </w:t>
            </w:r>
            <w:r>
              <w:rPr>
                <w:sz w:val="18"/>
                <w:szCs w:val="18"/>
              </w:rPr>
              <w:t>“M” for mixed mode</w:t>
            </w:r>
            <w:r w:rsidR="00F36BF0">
              <w:rPr>
                <w:sz w:val="18"/>
                <w:szCs w:val="18"/>
              </w:rPr>
              <w:t xml:space="preserve"> operations.</w:t>
            </w:r>
            <w:r w:rsidR="00243C5C">
              <w:rPr>
                <w:sz w:val="18"/>
                <w:szCs w:val="18"/>
              </w:rPr>
              <w:t xml:space="preserve"> If needed, enter specific mode type (D-Star, DMR, etc.) in Remarks.</w:t>
            </w:r>
          </w:p>
        </w:tc>
      </w:tr>
      <w:tr w:rsidR="00191673" w14:paraId="07317976" w14:textId="77777777" w:rsidTr="00AB1B9B">
        <w:trPr>
          <w:trHeight w:val="168"/>
        </w:trPr>
        <w:tc>
          <w:tcPr>
            <w:tcW w:w="3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5D86" w14:textId="77777777" w:rsidR="00191673" w:rsidRDefault="00191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9D5F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081F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miscellaneous information related to the channel.</w:t>
            </w:r>
          </w:p>
        </w:tc>
      </w:tr>
      <w:tr w:rsidR="00E21CAC" w14:paraId="0D68A6DC" w14:textId="7777777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9C94" w14:textId="02D6058A" w:rsidR="00E21CAC" w:rsidRDefault="00E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D70C" w14:textId="79D4DD10" w:rsidR="00E21CAC" w:rsidRDefault="00E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Instructions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B5CF" w14:textId="5E943732" w:rsidR="00E21CAC" w:rsidRDefault="00E21CAC" w:rsidP="00E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E21CAC">
              <w:rPr>
                <w:sz w:val="18"/>
                <w:szCs w:val="18"/>
              </w:rPr>
              <w:t>Enter any special instructions or other emergency</w:t>
            </w:r>
            <w:r>
              <w:rPr>
                <w:sz w:val="18"/>
                <w:szCs w:val="18"/>
              </w:rPr>
              <w:t xml:space="preserve"> </w:t>
            </w:r>
            <w:r w:rsidRPr="00E21CAC">
              <w:rPr>
                <w:sz w:val="18"/>
                <w:szCs w:val="18"/>
              </w:rPr>
              <w:t>communications needs</w:t>
            </w:r>
            <w:r w:rsidR="005D5E48">
              <w:rPr>
                <w:sz w:val="18"/>
                <w:szCs w:val="18"/>
              </w:rPr>
              <w:t>.</w:t>
            </w:r>
          </w:p>
        </w:tc>
      </w:tr>
      <w:tr w:rsidR="00191673" w14:paraId="18530E68" w14:textId="7777777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6270" w14:textId="70E788C1" w:rsidR="00191673" w:rsidRDefault="00E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097F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Prepared By (Comm Leader)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50C9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the name and FCC call sign of the person preparing the form.</w:t>
            </w:r>
          </w:p>
        </w:tc>
      </w:tr>
      <w:tr w:rsidR="00191673" w14:paraId="7BF99FD0" w14:textId="7777777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6819" w14:textId="3B0CCD1C" w:rsidR="00191673" w:rsidRDefault="00E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6964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Prepared Date/Time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E0CB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date prepared (mm/dd/year) and time prepared (24-hr clock).</w:t>
            </w:r>
          </w:p>
        </w:tc>
      </w:tr>
      <w:tr w:rsidR="00191673" w14:paraId="46697AA3" w14:textId="7777777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E720" w14:textId="38253B87" w:rsidR="00191673" w:rsidRDefault="00E2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7424" w14:textId="77777777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Page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67C9" w14:textId="36370816" w:rsidR="00191673" w:rsidRDefault="00D0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the page number and number of pages</w:t>
            </w:r>
            <w:r w:rsidR="009D32BF">
              <w:rPr>
                <w:sz w:val="18"/>
                <w:szCs w:val="18"/>
              </w:rPr>
              <w:t>.</w:t>
            </w:r>
          </w:p>
        </w:tc>
      </w:tr>
    </w:tbl>
    <w:p w14:paraId="57929947" w14:textId="77777777" w:rsidR="00191673" w:rsidRDefault="00191673" w:rsidP="00E21CAC"/>
    <w:sectPr w:rsidR="00191673" w:rsidSect="00D4792A">
      <w:pgSz w:w="12240" w:h="15840"/>
      <w:pgMar w:top="360" w:right="576" w:bottom="720" w:left="576" w:header="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C4BB" w14:textId="77777777" w:rsidR="00E860D3" w:rsidRDefault="00E860D3">
      <w:pPr>
        <w:spacing w:line="240" w:lineRule="auto"/>
      </w:pPr>
      <w:r>
        <w:separator/>
      </w:r>
    </w:p>
  </w:endnote>
  <w:endnote w:type="continuationSeparator" w:id="0">
    <w:p w14:paraId="599118F6" w14:textId="77777777" w:rsidR="00E860D3" w:rsidRDefault="00E86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A0E9" w14:textId="1B3F0EA7" w:rsidR="00191673" w:rsidRDefault="00D01129">
    <w:pPr>
      <w:rPr>
        <w:sz w:val="16"/>
        <w:szCs w:val="16"/>
      </w:rPr>
    </w:pPr>
    <w:r>
      <w:rPr>
        <w:sz w:val="16"/>
        <w:szCs w:val="16"/>
      </w:rPr>
      <w:t>ICS 205-SCCo ARES/RACES</w:t>
    </w:r>
    <w:r w:rsidR="004C656A">
      <w:rPr>
        <w:sz w:val="16"/>
        <w:szCs w:val="16"/>
      </w:rPr>
      <w:t>/ACS</w:t>
    </w:r>
    <w:r>
      <w:rPr>
        <w:sz w:val="16"/>
        <w:szCs w:val="16"/>
      </w:rPr>
      <w:t xml:space="preserve"> (rev. 2018-Ju</w:t>
    </w:r>
    <w:r w:rsidR="00AD37C8">
      <w:rPr>
        <w:sz w:val="16"/>
        <w:szCs w:val="16"/>
      </w:rPr>
      <w:t>l-0</w:t>
    </w:r>
    <w:r w:rsidR="005D5E48">
      <w:rPr>
        <w:sz w:val="16"/>
        <w:szCs w:val="16"/>
      </w:rPr>
      <w:t>9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8E5FB" w14:textId="77777777" w:rsidR="00E860D3" w:rsidRDefault="00E860D3">
      <w:pPr>
        <w:spacing w:line="240" w:lineRule="auto"/>
      </w:pPr>
      <w:r>
        <w:separator/>
      </w:r>
    </w:p>
  </w:footnote>
  <w:footnote w:type="continuationSeparator" w:id="0">
    <w:p w14:paraId="25381F35" w14:textId="77777777" w:rsidR="00E860D3" w:rsidRDefault="00E860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D1BA0"/>
    <w:multiLevelType w:val="multilevel"/>
    <w:tmpl w:val="E1841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673"/>
    <w:rsid w:val="0004061B"/>
    <w:rsid w:val="000B0033"/>
    <w:rsid w:val="00103725"/>
    <w:rsid w:val="00113AFC"/>
    <w:rsid w:val="001676D1"/>
    <w:rsid w:val="00176BCD"/>
    <w:rsid w:val="00191673"/>
    <w:rsid w:val="00234840"/>
    <w:rsid w:val="00243C5C"/>
    <w:rsid w:val="002657F0"/>
    <w:rsid w:val="00266C53"/>
    <w:rsid w:val="002865DD"/>
    <w:rsid w:val="002A1CBA"/>
    <w:rsid w:val="002C7F65"/>
    <w:rsid w:val="002E3707"/>
    <w:rsid w:val="00316D8E"/>
    <w:rsid w:val="003178FD"/>
    <w:rsid w:val="00321554"/>
    <w:rsid w:val="00352E66"/>
    <w:rsid w:val="00427A9C"/>
    <w:rsid w:val="004C656A"/>
    <w:rsid w:val="0057570F"/>
    <w:rsid w:val="00596864"/>
    <w:rsid w:val="005D5E48"/>
    <w:rsid w:val="005E6A8E"/>
    <w:rsid w:val="00624455"/>
    <w:rsid w:val="006568A4"/>
    <w:rsid w:val="00700A0C"/>
    <w:rsid w:val="007C15BE"/>
    <w:rsid w:val="007C63A0"/>
    <w:rsid w:val="007D1C17"/>
    <w:rsid w:val="00871A8F"/>
    <w:rsid w:val="00943D85"/>
    <w:rsid w:val="00982827"/>
    <w:rsid w:val="009D32BF"/>
    <w:rsid w:val="009F6EFA"/>
    <w:rsid w:val="00A16477"/>
    <w:rsid w:val="00A24D4D"/>
    <w:rsid w:val="00A528CB"/>
    <w:rsid w:val="00A77813"/>
    <w:rsid w:val="00AA05F3"/>
    <w:rsid w:val="00AB1B9B"/>
    <w:rsid w:val="00AD37C8"/>
    <w:rsid w:val="00AF181F"/>
    <w:rsid w:val="00AF6990"/>
    <w:rsid w:val="00B23A3E"/>
    <w:rsid w:val="00B83695"/>
    <w:rsid w:val="00BF1178"/>
    <w:rsid w:val="00BF1577"/>
    <w:rsid w:val="00C678AB"/>
    <w:rsid w:val="00C96B7E"/>
    <w:rsid w:val="00CA1DED"/>
    <w:rsid w:val="00CD1A69"/>
    <w:rsid w:val="00CE261C"/>
    <w:rsid w:val="00D01129"/>
    <w:rsid w:val="00D32070"/>
    <w:rsid w:val="00D4792A"/>
    <w:rsid w:val="00D6640A"/>
    <w:rsid w:val="00D868D5"/>
    <w:rsid w:val="00DB40B8"/>
    <w:rsid w:val="00E21CAC"/>
    <w:rsid w:val="00E452D2"/>
    <w:rsid w:val="00E6097A"/>
    <w:rsid w:val="00E860D3"/>
    <w:rsid w:val="00E937F1"/>
    <w:rsid w:val="00F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D4DE"/>
  <w15:docId w15:val="{ADB87D48-D3D2-4F52-9973-FF0B81B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1B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9B"/>
  </w:style>
  <w:style w:type="paragraph" w:styleId="Footer">
    <w:name w:val="footer"/>
    <w:basedOn w:val="Normal"/>
    <w:link w:val="FooterChar"/>
    <w:uiPriority w:val="99"/>
    <w:unhideWhenUsed/>
    <w:rsid w:val="00AB1B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9B"/>
  </w:style>
  <w:style w:type="paragraph" w:styleId="BalloonText">
    <w:name w:val="Balloon Text"/>
    <w:basedOn w:val="Normal"/>
    <w:link w:val="BalloonTextChar"/>
    <w:uiPriority w:val="99"/>
    <w:semiHidden/>
    <w:unhideWhenUsed/>
    <w:rsid w:val="00E937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A427-B0A4-4277-A392-AA6E324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Donald</cp:lastModifiedBy>
  <cp:revision>17</cp:revision>
  <cp:lastPrinted>2018-07-03T19:47:00Z</cp:lastPrinted>
  <dcterms:created xsi:type="dcterms:W3CDTF">2018-06-18T19:22:00Z</dcterms:created>
  <dcterms:modified xsi:type="dcterms:W3CDTF">2018-07-09T22:02:00Z</dcterms:modified>
</cp:coreProperties>
</file>